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39CE7" w14:textId="0BC76662" w:rsidR="00CD3637" w:rsidRDefault="00CD3637" w:rsidP="00CD3637">
      <w:pPr>
        <w:pStyle w:val="NoSpacing"/>
        <w:jc w:val="center"/>
      </w:pPr>
      <w:r>
        <w:rPr>
          <w:noProof/>
        </w:rPr>
        <w:drawing>
          <wp:inline distT="0" distB="0" distL="0" distR="0" wp14:anchorId="7BAF69CE" wp14:editId="1E4AE3D3">
            <wp:extent cx="4607884" cy="2350770"/>
            <wp:effectExtent l="19050" t="19050" r="21590" b="11430"/>
            <wp:docPr id="962812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12477" name=""/>
                    <pic:cNvPicPr/>
                  </pic:nvPicPr>
                  <pic:blipFill rotWithShape="1">
                    <a:blip r:embed="rId5"/>
                    <a:srcRect l="24615" t="23362" r="12308" b="23328"/>
                    <a:stretch/>
                  </pic:blipFill>
                  <pic:spPr bwMode="auto">
                    <a:xfrm>
                      <a:off x="0" y="0"/>
                      <a:ext cx="4612130" cy="235293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8AF5D6A" w14:textId="77777777" w:rsidR="00CD3637" w:rsidRDefault="00CD3637" w:rsidP="00CD3637">
      <w:pPr>
        <w:pStyle w:val="NoSpacing"/>
      </w:pPr>
    </w:p>
    <w:p w14:paraId="0094E7D1" w14:textId="2F12E28B" w:rsidR="00CD3637" w:rsidRDefault="00CD3637" w:rsidP="00CD3637">
      <w:pPr>
        <w:pStyle w:val="NoSpacing"/>
        <w:jc w:val="center"/>
      </w:pPr>
      <w:r>
        <w:rPr>
          <w:noProof/>
        </w:rPr>
        <w:drawing>
          <wp:inline distT="0" distB="0" distL="0" distR="0" wp14:anchorId="0289B276" wp14:editId="6393506D">
            <wp:extent cx="4724400" cy="1729740"/>
            <wp:effectExtent l="19050" t="19050" r="19050" b="22860"/>
            <wp:docPr id="935213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213397" name=""/>
                    <pic:cNvPicPr/>
                  </pic:nvPicPr>
                  <pic:blipFill rotWithShape="1">
                    <a:blip r:embed="rId6"/>
                    <a:srcRect l="23333" t="29821" r="7778" b="28394"/>
                    <a:stretch/>
                  </pic:blipFill>
                  <pic:spPr bwMode="auto">
                    <a:xfrm>
                      <a:off x="0" y="0"/>
                      <a:ext cx="4724400" cy="172974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18F9E41" w14:textId="77777777" w:rsidR="00CD3637" w:rsidRDefault="00CD3637" w:rsidP="00CD3637">
      <w:pPr>
        <w:pStyle w:val="NoSpacing"/>
      </w:pPr>
    </w:p>
    <w:p w14:paraId="6C6B2656" w14:textId="756E7100" w:rsidR="00CD3637" w:rsidRDefault="00CD3637" w:rsidP="00CD3637">
      <w:pPr>
        <w:rPr>
          <w:szCs w:val="24"/>
        </w:rPr>
      </w:pPr>
      <w:r w:rsidRPr="00563D94">
        <w:rPr>
          <w:b/>
          <w:bCs/>
          <w:szCs w:val="24"/>
        </w:rPr>
        <w:t>Warpage Control for Ultra-Large Packages</w:t>
      </w:r>
      <w:r>
        <w:rPr>
          <w:szCs w:val="24"/>
        </w:rPr>
        <w:t xml:space="preserve">: Chip-on-wafer-on-substrate (CoWoS) technology is a 2.5D/3D platform used to integrate SoC (system-on-a-chip) and HBM (high-bandwidth memory) dies on an interposer. As the requirements of AI and high-performance computing push the limits of bandwidth and performance, the sizes of both the integrated </w:t>
      </w:r>
      <w:r w:rsidR="00225298">
        <w:rPr>
          <w:szCs w:val="24"/>
        </w:rPr>
        <w:t xml:space="preserve">dies </w:t>
      </w:r>
      <w:r>
        <w:rPr>
          <w:szCs w:val="24"/>
        </w:rPr>
        <w:t>and the interposers have been increasing. That means warpage control is becoming an urgent challenge, because it impacts joint quality, assembly yields, functional testing and board-level assembly. TSMC’s CoWoS-R platform uses an organic polymer-based interposer that incorporates a redistribution layer</w:t>
      </w:r>
      <w:r w:rsidR="00225298">
        <w:rPr>
          <w:szCs w:val="24"/>
        </w:rPr>
        <w:t xml:space="preserve"> (RDL)</w:t>
      </w:r>
      <w:r>
        <w:rPr>
          <w:szCs w:val="24"/>
        </w:rPr>
        <w:t>. At ECTC, TSMC researchers will report on their studies of warpage in ultra-large (110x110mm</w:t>
      </w:r>
      <w:r w:rsidRPr="00C571A9">
        <w:rPr>
          <w:szCs w:val="24"/>
          <w:vertAlign w:val="superscript"/>
        </w:rPr>
        <w:t>2</w:t>
      </w:r>
      <w:r>
        <w:rPr>
          <w:szCs w:val="24"/>
        </w:rPr>
        <w:t>) CoWoS-R interposers which integrate 4 SoCs and 12 HBMs. They will present the results of their analyses, which took into account substrate size, CoW effects, stress buffering films, heat sink placement and others, and will identify remaining critical challenges going forward.</w:t>
      </w:r>
    </w:p>
    <w:p w14:paraId="5FA2BCF4" w14:textId="77777777" w:rsidR="00CD3637" w:rsidRDefault="00CD3637" w:rsidP="00CD3637">
      <w:pPr>
        <w:rPr>
          <w:szCs w:val="24"/>
        </w:rPr>
      </w:pPr>
    </w:p>
    <w:p w14:paraId="541ADEEE" w14:textId="5482F060" w:rsidR="00CD3637" w:rsidRDefault="00225298" w:rsidP="00225298">
      <w:pPr>
        <w:ind w:firstLine="720"/>
        <w:rPr>
          <w:szCs w:val="24"/>
        </w:rPr>
      </w:pPr>
      <w:r w:rsidRPr="00225298">
        <w:rPr>
          <w:b/>
          <w:bCs/>
          <w:szCs w:val="24"/>
        </w:rPr>
        <w:t>Above</w:t>
      </w:r>
      <w:r>
        <w:rPr>
          <w:szCs w:val="24"/>
        </w:rPr>
        <w:t xml:space="preserve">: </w:t>
      </w:r>
      <w:r w:rsidR="00CD3637">
        <w:rPr>
          <w:szCs w:val="24"/>
        </w:rPr>
        <w:t>As interposer size</w:t>
      </w:r>
      <w:r>
        <w:rPr>
          <w:szCs w:val="24"/>
        </w:rPr>
        <w:t>s</w:t>
      </w:r>
      <w:r w:rsidR="00CD3637">
        <w:rPr>
          <w:szCs w:val="24"/>
        </w:rPr>
        <w:t xml:space="preserve"> becomes larger, </w:t>
      </w:r>
      <w:r>
        <w:rPr>
          <w:szCs w:val="24"/>
        </w:rPr>
        <w:t xml:space="preserve">a key consideration is how </w:t>
      </w:r>
      <w:r w:rsidR="00CD3637">
        <w:rPr>
          <w:szCs w:val="24"/>
        </w:rPr>
        <w:t xml:space="preserve">surface topography </w:t>
      </w:r>
      <w:r w:rsidR="00DA2E47">
        <w:rPr>
          <w:szCs w:val="24"/>
        </w:rPr>
        <w:t xml:space="preserve">might </w:t>
      </w:r>
      <w:r>
        <w:rPr>
          <w:szCs w:val="24"/>
        </w:rPr>
        <w:t xml:space="preserve">impact the mounting of SoCs and HBMs on the interposer. </w:t>
      </w:r>
      <w:r w:rsidR="00CD3637">
        <w:rPr>
          <w:szCs w:val="24"/>
        </w:rPr>
        <w:t>The images above show:</w:t>
      </w:r>
    </w:p>
    <w:p w14:paraId="40674093" w14:textId="7F5338FF" w:rsidR="00CD3637" w:rsidRDefault="00225298" w:rsidP="00CD3637">
      <w:pPr>
        <w:pStyle w:val="ListParagraph"/>
        <w:numPr>
          <w:ilvl w:val="0"/>
          <w:numId w:val="1"/>
        </w:numPr>
      </w:pPr>
      <w:r>
        <w:t xml:space="preserve">the microbump is well </w:t>
      </w:r>
      <w:r w:rsidR="00CD3637">
        <w:t xml:space="preserve">is </w:t>
      </w:r>
      <w:r>
        <w:t xml:space="preserve">joined as the </w:t>
      </w:r>
      <w:r w:rsidR="00DA2E47">
        <w:t>RDL was increased 9 layers</w:t>
      </w:r>
    </w:p>
    <w:p w14:paraId="5578FB4C" w14:textId="05001AEF" w:rsidR="00DA2E47" w:rsidRPr="00CD3637" w:rsidRDefault="00DA2E47" w:rsidP="00CD3637">
      <w:pPr>
        <w:pStyle w:val="ListParagraph"/>
        <w:numPr>
          <w:ilvl w:val="0"/>
          <w:numId w:val="1"/>
        </w:numPr>
      </w:pPr>
      <w:r>
        <w:t>measured wafer surface topography shows variation of no more than 7µm across the wafer surface</w:t>
      </w:r>
    </w:p>
    <w:p w14:paraId="6A8000FE" w14:textId="77777777" w:rsidR="00CD3637" w:rsidRDefault="00CD3637" w:rsidP="00CD3637">
      <w:pPr>
        <w:rPr>
          <w:szCs w:val="24"/>
        </w:rPr>
      </w:pPr>
    </w:p>
    <w:p w14:paraId="0D96AC8D" w14:textId="19E9A181" w:rsidR="00CD3637" w:rsidRPr="00CD3637" w:rsidRDefault="00CD3637" w:rsidP="00CD3637">
      <w:pPr>
        <w:rPr>
          <w:b/>
          <w:bCs/>
          <w:sz w:val="20"/>
        </w:rPr>
      </w:pPr>
      <w:r w:rsidRPr="007227C8">
        <w:rPr>
          <w:b/>
          <w:bCs/>
          <w:sz w:val="20"/>
        </w:rPr>
        <w:t>(Paper 4.</w:t>
      </w:r>
      <w:r w:rsidR="00D04459">
        <w:rPr>
          <w:b/>
          <w:bCs/>
          <w:sz w:val="20"/>
        </w:rPr>
        <w:t>1</w:t>
      </w:r>
      <w:r w:rsidRPr="007227C8">
        <w:rPr>
          <w:b/>
          <w:bCs/>
          <w:sz w:val="20"/>
        </w:rPr>
        <w:t>, “</w:t>
      </w:r>
      <w:r w:rsidRPr="007227C8">
        <w:rPr>
          <w:b/>
          <w:bCs/>
          <w:i/>
          <w:iCs/>
          <w:sz w:val="20"/>
        </w:rPr>
        <w:t>Package Warpage Reduction for Large CoWoS-R Packages</w:t>
      </w:r>
      <w:r w:rsidRPr="007227C8">
        <w:rPr>
          <w:b/>
          <w:bCs/>
          <w:sz w:val="20"/>
        </w:rPr>
        <w:t>,” Yu-Hsiang et al, TSMC)</w:t>
      </w:r>
    </w:p>
    <w:sectPr w:rsidR="00CD3637" w:rsidRPr="00CD3637" w:rsidSect="00CD36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4D5401"/>
    <w:multiLevelType w:val="hybridMultilevel"/>
    <w:tmpl w:val="4322E4B8"/>
    <w:lvl w:ilvl="0" w:tplc="7474EB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6628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37"/>
    <w:rsid w:val="00093C18"/>
    <w:rsid w:val="000B654D"/>
    <w:rsid w:val="001315EE"/>
    <w:rsid w:val="001472C1"/>
    <w:rsid w:val="00225298"/>
    <w:rsid w:val="006D01B1"/>
    <w:rsid w:val="007D037A"/>
    <w:rsid w:val="008C3C7D"/>
    <w:rsid w:val="00CD3637"/>
    <w:rsid w:val="00CE07BC"/>
    <w:rsid w:val="00D04459"/>
    <w:rsid w:val="00DA2E47"/>
    <w:rsid w:val="00DE75B0"/>
    <w:rsid w:val="00EC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F36F"/>
  <w15:chartTrackingRefBased/>
  <w15:docId w15:val="{A1369D1B-3FF4-432C-8D64-0DA41090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637"/>
    <w:pPr>
      <w:spacing w:after="0" w:line="240" w:lineRule="auto"/>
    </w:pPr>
    <w:rPr>
      <w:rFonts w:eastAsiaTheme="minorEastAsia"/>
      <w:kern w:val="0"/>
      <w:szCs w:val="20"/>
      <w14:ligatures w14:val="none"/>
    </w:rPr>
  </w:style>
  <w:style w:type="paragraph" w:styleId="Heading1">
    <w:name w:val="heading 1"/>
    <w:basedOn w:val="Normal"/>
    <w:next w:val="Normal"/>
    <w:link w:val="Heading1Char"/>
    <w:uiPriority w:val="9"/>
    <w:qFormat/>
    <w:rsid w:val="00CD363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D363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D363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D3637"/>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CD3637"/>
    <w:pPr>
      <w:keepNext/>
      <w:keepLines/>
      <w:spacing w:before="80" w:after="40" w:line="259" w:lineRule="auto"/>
      <w:outlineLvl w:val="4"/>
    </w:pPr>
    <w:rPr>
      <w:rFonts w:asciiTheme="minorHAnsi" w:eastAsiaTheme="majorEastAsia" w:hAnsiTheme="minorHAnsi" w:cstheme="majorBidi"/>
      <w:color w:val="2F5496"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CD3637"/>
    <w:pPr>
      <w:keepNext/>
      <w:keepLines/>
      <w:spacing w:before="40" w:line="259"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CD3637"/>
    <w:pPr>
      <w:keepNext/>
      <w:keepLines/>
      <w:spacing w:before="40" w:line="259"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CD3637"/>
    <w:pPr>
      <w:keepNext/>
      <w:keepLines/>
      <w:spacing w:line="259"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CD3637"/>
    <w:pPr>
      <w:keepNext/>
      <w:keepLines/>
      <w:spacing w:line="259"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3C7D"/>
    <w:pPr>
      <w:spacing w:after="0" w:line="240" w:lineRule="auto"/>
    </w:pPr>
  </w:style>
  <w:style w:type="character" w:customStyle="1" w:styleId="Heading1Char">
    <w:name w:val="Heading 1 Char"/>
    <w:basedOn w:val="DefaultParagraphFont"/>
    <w:link w:val="Heading1"/>
    <w:uiPriority w:val="9"/>
    <w:rsid w:val="00CD36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36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363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363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D363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D363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363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363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363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363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D36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63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D363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3637"/>
    <w:pPr>
      <w:spacing w:before="160" w:after="160" w:line="259" w:lineRule="auto"/>
      <w:jc w:val="center"/>
    </w:pPr>
    <w:rPr>
      <w:rFonts w:eastAsiaTheme="minorHAns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CD3637"/>
    <w:rPr>
      <w:i/>
      <w:iCs/>
      <w:color w:val="404040" w:themeColor="text1" w:themeTint="BF"/>
    </w:rPr>
  </w:style>
  <w:style w:type="paragraph" w:styleId="ListParagraph">
    <w:name w:val="List Paragraph"/>
    <w:basedOn w:val="Normal"/>
    <w:uiPriority w:val="34"/>
    <w:qFormat/>
    <w:rsid w:val="00CD3637"/>
    <w:pPr>
      <w:spacing w:after="160" w:line="259" w:lineRule="auto"/>
      <w:ind w:left="720"/>
      <w:contextualSpacing/>
    </w:pPr>
    <w:rPr>
      <w:rFonts w:eastAsiaTheme="minorHAnsi"/>
      <w:kern w:val="2"/>
      <w:szCs w:val="24"/>
      <w14:ligatures w14:val="standardContextual"/>
    </w:rPr>
  </w:style>
  <w:style w:type="character" w:styleId="IntenseEmphasis">
    <w:name w:val="Intense Emphasis"/>
    <w:basedOn w:val="DefaultParagraphFont"/>
    <w:uiPriority w:val="21"/>
    <w:qFormat/>
    <w:rsid w:val="00CD3637"/>
    <w:rPr>
      <w:i/>
      <w:iCs/>
      <w:color w:val="2F5496" w:themeColor="accent1" w:themeShade="BF"/>
    </w:rPr>
  </w:style>
  <w:style w:type="paragraph" w:styleId="IntenseQuote">
    <w:name w:val="Intense Quote"/>
    <w:basedOn w:val="Normal"/>
    <w:next w:val="Normal"/>
    <w:link w:val="IntenseQuoteChar"/>
    <w:uiPriority w:val="30"/>
    <w:qFormat/>
    <w:rsid w:val="00CD363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CD3637"/>
    <w:rPr>
      <w:i/>
      <w:iCs/>
      <w:color w:val="2F5496" w:themeColor="accent1" w:themeShade="BF"/>
    </w:rPr>
  </w:style>
  <w:style w:type="character" w:styleId="IntenseReference">
    <w:name w:val="Intense Reference"/>
    <w:basedOn w:val="DefaultParagraphFont"/>
    <w:uiPriority w:val="32"/>
    <w:qFormat/>
    <w:rsid w:val="00CD3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Dagastine</dc:creator>
  <cp:keywords/>
  <dc:description/>
  <cp:lastModifiedBy>Gary Dagastine</cp:lastModifiedBy>
  <cp:revision>2</cp:revision>
  <cp:lastPrinted>2025-03-31T18:38:00Z</cp:lastPrinted>
  <dcterms:created xsi:type="dcterms:W3CDTF">2025-05-06T23:18:00Z</dcterms:created>
  <dcterms:modified xsi:type="dcterms:W3CDTF">2025-05-06T23:18:00Z</dcterms:modified>
</cp:coreProperties>
</file>